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DOHODA O MLČENLIVOSTI A OCHRANĚ DŮVĚRNÝCH INFORMACÍ</w:t>
      </w:r>
    </w:p>
    <w:p>
      <w:pPr>
        <w:spacing w:after="160"/>
      </w:pPr>
      <w:r>
        <w:rPr>
          <w:rFonts w:ascii="Calibri" w:hAnsi="Calibri"/>
        </w:rPr>
        <w:t>(dále jen „</w:t>
      </w:r>
      <w:r>
        <w:rPr>
          <w:rFonts w:ascii="Calibri" w:hAnsi="Calibri"/>
          <w:b/>
        </w:rPr>
        <w:t>Dohoda</w:t>
      </w:r>
      <w:r>
        <w:rPr>
          <w:rFonts w:ascii="Calibri" w:hAnsi="Calibri"/>
        </w:rPr>
        <w:t>")</w:t>
      </w:r>
    </w:p>
    <w:p>
      <w:pPr>
        <w:spacing w:after="160"/>
      </w:pPr>
      <w:r>
        <w:rPr>
          <w:rFonts w:ascii="Calibri" w:hAnsi="Calibri"/>
        </w:rPr>
        <w:t>uzavřená podle § 1746 odst. 2 ve spojení s § 1730 odst. 2 zákona č. 89/2012 Sb., občanský zákoník, v platném znění (dále jen „</w:t>
      </w:r>
      <w:r>
        <w:rPr>
          <w:rFonts w:ascii="Calibri" w:hAnsi="Calibri"/>
          <w:b/>
        </w:rPr>
        <w:t>občanský zákoník</w:t>
      </w:r>
      <w:r>
        <w:rPr>
          <w:rFonts w:ascii="Calibri" w:hAnsi="Calibri"/>
        </w:rPr>
        <w:t>")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Smluvní strany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 xml:space="preserve">1. </w:t>
      </w:r>
      <w:r>
        <w:rPr>
          <w:rFonts w:ascii="Calibri" w:hAnsi="Calibri"/>
          <w:b/>
          <w:sz w:val="23"/>
          <w:highlight w:val="lightGray"/>
        </w:rPr>
        <w:t>[Jméno a příjmení / Obchodní firma]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se sídlem / s bydlištěm: </w:t>
      </w:r>
      <w:r>
        <w:rPr>
          <w:rFonts w:ascii="Calibri" w:hAnsi="Calibri"/>
          <w:highlight w:val="lightGray"/>
        </w:rPr>
        <w:t>[Adresa sídla / bydliště]</w:t>
      </w:r>
    </w:p>
    <w:p>
      <w:r>
        <w:rPr>
          <w:rFonts w:ascii="Calibri" w:hAnsi="Calibri"/>
          <w:highlight w:val="lightGray"/>
        </w:rPr>
        <w:t>[zapsaná v obchodním rejstříku vedeném [soud]</w:t>
      </w:r>
      <w:r>
        <w:rPr>
          <w:rFonts w:ascii="Calibri" w:hAnsi="Calibri"/>
        </w:rPr>
        <w:t xml:space="preserve">, oddíl </w:t>
      </w:r>
      <w:r>
        <w:rPr>
          <w:rFonts w:ascii="Calibri" w:hAnsi="Calibri"/>
          <w:highlight w:val="lightGray"/>
        </w:rPr>
        <w:t>[oddíl]</w:t>
      </w:r>
      <w:r>
        <w:rPr>
          <w:rFonts w:ascii="Calibri" w:hAnsi="Calibri"/>
        </w:rPr>
        <w:t xml:space="preserve">, vložka </w:t>
      </w:r>
      <w:r>
        <w:rPr>
          <w:rFonts w:ascii="Calibri" w:hAnsi="Calibri"/>
          <w:highlight w:val="lightGray"/>
        </w:rPr>
        <w:t>[vložka]</w:t>
      </w:r>
      <w:r>
        <w:rPr>
          <w:rFonts w:ascii="Calibri" w:hAnsi="Calibri"/>
        </w:rPr>
        <w:t xml:space="preserve"> / u fyzické osoby: datum narození </w:t>
      </w:r>
      <w:r>
        <w:rPr>
          <w:rFonts w:ascii="Calibri" w:hAnsi="Calibri"/>
          <w:highlight w:val="lightGray"/>
        </w:rPr>
        <w:t>[Datum narození]</w:t>
      </w:r>
      <w:r>
        <w:rPr>
          <w:rFonts w:ascii="Calibri" w:hAnsi="Calibri"/>
        </w:rPr>
        <w:t>]</w:t>
      </w:r>
    </w:p>
    <w:p>
      <w:r>
        <w:rPr>
          <w:rFonts w:ascii="Calibri" w:hAnsi="Calibri"/>
        </w:rPr>
        <w:t xml:space="preserve">zastoupená: </w:t>
      </w:r>
      <w:r>
        <w:rPr>
          <w:rFonts w:ascii="Calibri" w:hAnsi="Calibri"/>
          <w:highlight w:val="lightGray"/>
        </w:rPr>
        <w:t>[Jméno a funkce osoby oprávněné jednat]</w:t>
      </w:r>
    </w:p>
    <w:p>
      <w:pPr>
        <w:spacing w:after="160"/>
      </w:pPr>
      <w:r>
        <w:rPr>
          <w:rFonts w:ascii="Calibri" w:hAnsi="Calibri"/>
        </w:rPr>
        <w:t>(dále jen „</w:t>
      </w:r>
      <w:r>
        <w:rPr>
          <w:rFonts w:ascii="Calibri" w:hAnsi="Calibri"/>
          <w:b/>
        </w:rPr>
        <w:t>Strana A</w:t>
      </w:r>
      <w:r>
        <w:rPr>
          <w:rFonts w:ascii="Calibri" w:hAnsi="Calibri"/>
        </w:rPr>
        <w:t>")</w:t>
      </w:r>
    </w:p>
    <w:p>
      <w:pPr>
        <w:spacing w:after="160"/>
      </w:pPr>
      <w:r>
        <w:rPr>
          <w:rFonts w:ascii="Calibri" w:hAnsi="Calibri"/>
        </w:rPr>
        <w:t>a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 xml:space="preserve">2. </w:t>
      </w:r>
      <w:r>
        <w:rPr>
          <w:rFonts w:ascii="Calibri" w:hAnsi="Calibri"/>
          <w:b/>
          <w:sz w:val="23"/>
          <w:highlight w:val="lightGray"/>
        </w:rPr>
        <w:t>[Jméno a příjmení / Obchodní firma]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se sídlem / s bydlištěm: </w:t>
      </w:r>
      <w:r>
        <w:rPr>
          <w:rFonts w:ascii="Calibri" w:hAnsi="Calibri"/>
          <w:highlight w:val="lightGray"/>
        </w:rPr>
        <w:t>[Adresa sídla / bydliště]</w:t>
      </w:r>
    </w:p>
    <w:p>
      <w:r>
        <w:rPr>
          <w:rFonts w:ascii="Calibri" w:hAnsi="Calibri"/>
          <w:highlight w:val="lightGray"/>
        </w:rPr>
        <w:t>[zapsaná v obchodním rejstříku vedeném [soud]</w:t>
      </w:r>
      <w:r>
        <w:rPr>
          <w:rFonts w:ascii="Calibri" w:hAnsi="Calibri"/>
        </w:rPr>
        <w:t xml:space="preserve">, oddíl </w:t>
      </w:r>
      <w:r>
        <w:rPr>
          <w:rFonts w:ascii="Calibri" w:hAnsi="Calibri"/>
          <w:highlight w:val="lightGray"/>
        </w:rPr>
        <w:t>[oddíl]</w:t>
      </w:r>
      <w:r>
        <w:rPr>
          <w:rFonts w:ascii="Calibri" w:hAnsi="Calibri"/>
        </w:rPr>
        <w:t xml:space="preserve">, vložka </w:t>
      </w:r>
      <w:r>
        <w:rPr>
          <w:rFonts w:ascii="Calibri" w:hAnsi="Calibri"/>
          <w:highlight w:val="lightGray"/>
        </w:rPr>
        <w:t>[vložka]</w:t>
      </w:r>
      <w:r>
        <w:rPr>
          <w:rFonts w:ascii="Calibri" w:hAnsi="Calibri"/>
        </w:rPr>
        <w:t xml:space="preserve"> / u fyzické osoby: datum narození </w:t>
      </w:r>
      <w:r>
        <w:rPr>
          <w:rFonts w:ascii="Calibri" w:hAnsi="Calibri"/>
          <w:highlight w:val="lightGray"/>
        </w:rPr>
        <w:t>[Datum narození]</w:t>
      </w:r>
      <w:r>
        <w:rPr>
          <w:rFonts w:ascii="Calibri" w:hAnsi="Calibri"/>
        </w:rPr>
        <w:t>]</w:t>
      </w:r>
    </w:p>
    <w:p>
      <w:r>
        <w:rPr>
          <w:rFonts w:ascii="Calibri" w:hAnsi="Calibri"/>
        </w:rPr>
        <w:t xml:space="preserve">zastoupená: </w:t>
      </w:r>
      <w:r>
        <w:rPr>
          <w:rFonts w:ascii="Calibri" w:hAnsi="Calibri"/>
          <w:highlight w:val="lightGray"/>
        </w:rPr>
        <w:t>[Jméno a funkce osoby oprávněné jednat]</w:t>
      </w:r>
    </w:p>
    <w:p>
      <w:pPr>
        <w:spacing w:after="160"/>
      </w:pPr>
      <w:r>
        <w:rPr>
          <w:rFonts w:ascii="Calibri" w:hAnsi="Calibri"/>
        </w:rPr>
        <w:t>(dále jen „</w:t>
      </w:r>
      <w:r>
        <w:rPr>
          <w:rFonts w:ascii="Calibri" w:hAnsi="Calibri"/>
          <w:b/>
        </w:rPr>
        <w:t>Strana B</w:t>
      </w:r>
      <w:r>
        <w:rPr>
          <w:rFonts w:ascii="Calibri" w:hAnsi="Calibri"/>
        </w:rPr>
        <w:t>")</w:t>
      </w:r>
    </w:p>
    <w:p>
      <w:pPr>
        <w:spacing w:after="160"/>
      </w:pPr>
      <w:r>
        <w:rPr>
          <w:rFonts w:ascii="Calibri" w:hAnsi="Calibri"/>
        </w:rPr>
        <w:t>(Strana A a Strana B dále společně jen „</w:t>
      </w:r>
      <w:r>
        <w:rPr>
          <w:rFonts w:ascii="Calibri" w:hAnsi="Calibri"/>
          <w:b/>
        </w:rPr>
        <w:t>smluvní strany</w:t>
      </w:r>
      <w:r>
        <w:rPr>
          <w:rFonts w:ascii="Calibri" w:hAnsi="Calibri"/>
        </w:rPr>
        <w:t>" a každá samostatně jen „</w:t>
      </w:r>
      <w:r>
        <w:rPr>
          <w:rFonts w:ascii="Calibri" w:hAnsi="Calibri"/>
          <w:b/>
        </w:rPr>
        <w:t>smluvní strana</w:t>
      </w:r>
      <w:r>
        <w:rPr>
          <w:rFonts w:ascii="Calibri" w:hAnsi="Calibri"/>
        </w:rPr>
        <w:t>")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I. Účel Dohody</w:t>
      </w:r>
    </w:p>
    <w:p>
      <w:pPr>
        <w:spacing w:after="160"/>
      </w:pPr>
      <w:r>
        <w:rPr>
          <w:rFonts w:ascii="Calibri" w:hAnsi="Calibri"/>
        </w:rPr>
        <w:t xml:space="preserve">1.1 Smluvní strany spolu jednají o </w:t>
      </w:r>
      <w:r>
        <w:rPr>
          <w:rFonts w:ascii="Calibri" w:hAnsi="Calibri"/>
          <w:highlight w:val="lightGray"/>
        </w:rPr>
        <w:t>[účel — např. možné obchodní spolupráci / zadání zakázky / investici / due diligence]</w:t>
      </w:r>
      <w:r>
        <w:rPr>
          <w:rFonts w:ascii="Calibri" w:hAnsi="Calibri"/>
        </w:rPr>
        <w:t xml:space="preserve"> (dále jen „</w:t>
      </w:r>
      <w:r>
        <w:rPr>
          <w:rFonts w:ascii="Calibri" w:hAnsi="Calibri"/>
          <w:b/>
        </w:rPr>
        <w:t>Účel</w:t>
      </w:r>
      <w:r>
        <w:rPr>
          <w:rFonts w:ascii="Calibri" w:hAnsi="Calibri"/>
        </w:rPr>
        <w:t>"). V souvislosti s Účelem si smluvní strany vzájemně poskytují, nebo si mohou poskytnout, důvěrné informace ve smyslu této Dohody.</w:t>
      </w:r>
    </w:p>
    <w:p>
      <w:pPr>
        <w:spacing w:after="160"/>
      </w:pPr>
      <w:r>
        <w:rPr>
          <w:rFonts w:ascii="Calibri" w:hAnsi="Calibri"/>
        </w:rPr>
        <w:t xml:space="preserve">1.2 Tato Dohoda upravuje </w:t>
      </w:r>
      <w:r>
        <w:rPr>
          <w:rFonts w:ascii="Calibri" w:hAnsi="Calibri"/>
          <w:highlight w:val="lightGray"/>
        </w:rPr>
        <w:t>[variantu zvolte: ☐ vzájemný (oboustranný) závazek mlčenlivosti / ☐ jednostranný závazek mlčenlivosti, kdy informace sděluje pouze Strana [A/B]</w:t>
      </w:r>
      <w:r>
        <w:rPr>
          <w:rFonts w:ascii="Calibri" w:hAnsi="Calibri"/>
        </w:rPr>
        <w:t xml:space="preserve"> (dále jen „</w:t>
      </w:r>
      <w:r>
        <w:rPr>
          <w:rFonts w:ascii="Calibri" w:hAnsi="Calibri"/>
          <w:b/>
        </w:rPr>
        <w:t>sdělující strana</w:t>
      </w:r>
      <w:r>
        <w:rPr>
          <w:rFonts w:ascii="Calibri" w:hAnsi="Calibri"/>
        </w:rPr>
        <w:t xml:space="preserve">") a přijímá je pouze Strana </w:t>
      </w:r>
      <w:r>
        <w:rPr>
          <w:rFonts w:ascii="Calibri" w:hAnsi="Calibri"/>
          <w:highlight w:val="lightGray"/>
        </w:rPr>
        <w:t>[B/A]</w:t>
      </w:r>
      <w:r>
        <w:rPr>
          <w:rFonts w:ascii="Calibri" w:hAnsi="Calibri"/>
        </w:rPr>
        <w:t xml:space="preserve"> (dále jen „</w:t>
      </w:r>
      <w:r>
        <w:rPr>
          <w:rFonts w:ascii="Calibri" w:hAnsi="Calibri"/>
          <w:b/>
        </w:rPr>
        <w:t>přijímající strana</w:t>
      </w:r>
      <w:r>
        <w:rPr>
          <w:rFonts w:ascii="Calibri" w:hAnsi="Calibri"/>
        </w:rPr>
        <w:t>")].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II. Důvěrné informace</w:t>
      </w:r>
    </w:p>
    <w:p>
      <w:pPr>
        <w:spacing w:after="160"/>
      </w:pPr>
      <w:r>
        <w:rPr>
          <w:rFonts w:ascii="Calibri" w:hAnsi="Calibri"/>
        </w:rPr>
        <w:t>2.1 Důvěrnými informacemi se pro účely této Dohody rozumí veškeré informace, které jedna smluvní strana poskytne druhé v souvislosti s Účelem, zejména:</w:t>
      </w:r>
    </w:p>
    <w:p>
      <w:pPr>
        <w:ind w:left="340"/>
      </w:pPr>
      <w:r>
        <w:rPr>
          <w:rFonts w:ascii="Calibri" w:hAnsi="Calibri"/>
        </w:rPr>
        <w:t>a) obchodní tajemství ve smyslu § 504 občanského zákoníku;</w:t>
      </w:r>
    </w:p>
    <w:p>
      <w:pPr>
        <w:ind w:left="340"/>
      </w:pPr>
      <w:r>
        <w:rPr>
          <w:rFonts w:ascii="Calibri" w:hAnsi="Calibri"/>
        </w:rPr>
        <w:t>b) know-how, technická a technologická dokumentace, zdrojový kód a návrhy řešení;</w:t>
      </w:r>
    </w:p>
    <w:p>
      <w:pPr>
        <w:ind w:left="340"/>
      </w:pPr>
      <w:r>
        <w:rPr>
          <w:rFonts w:ascii="Calibri" w:hAnsi="Calibri"/>
        </w:rPr>
        <w:t>c) cenové kalkulace, ceníky, obchodní podmínky a marže;</w:t>
      </w:r>
    </w:p>
    <w:p>
      <w:pPr>
        <w:ind w:left="340"/>
      </w:pPr>
      <w:r>
        <w:rPr>
          <w:rFonts w:ascii="Calibri" w:hAnsi="Calibri"/>
        </w:rPr>
        <w:t>d) seznamy zákazníků, dodavatelů a obchodních partnerů;</w:t>
      </w:r>
    </w:p>
    <w:p>
      <w:pPr>
        <w:ind w:left="340"/>
      </w:pPr>
      <w:r>
        <w:rPr>
          <w:rFonts w:ascii="Calibri" w:hAnsi="Calibri"/>
        </w:rPr>
        <w:t>e) obchodní, finanční a marketingové plány a strategie;</w:t>
      </w:r>
    </w:p>
    <w:p>
      <w:pPr>
        <w:spacing w:after="160"/>
        <w:ind w:left="340"/>
      </w:pPr>
      <w:r>
        <w:rPr>
          <w:rFonts w:ascii="Calibri" w:hAnsi="Calibri"/>
        </w:rPr>
        <w:t xml:space="preserve">f) </w:t>
      </w:r>
      <w:r>
        <w:rPr>
          <w:rFonts w:ascii="Calibri" w:hAnsi="Calibri"/>
          <w:highlight w:val="lightGray"/>
        </w:rPr>
        <w:t>[další specifikace důvěrných informací podle konkrétního případu]</w:t>
      </w:r>
    </w:p>
    <w:p>
      <w:pPr>
        <w:spacing w:after="160"/>
      </w:pPr>
      <w:r>
        <w:rPr>
          <w:rFonts w:ascii="Calibri" w:hAnsi="Calibri"/>
        </w:rPr>
        <w:t>bez ohledu na to, zda jsou poskytnuty písemně, ústně, elektronicky či jinou formou a zda jsou výslovně označeny jako důvěrné.</w:t>
      </w:r>
    </w:p>
    <w:p>
      <w:pPr>
        <w:spacing w:after="160"/>
      </w:pPr>
      <w:r>
        <w:rPr>
          <w:rFonts w:ascii="Calibri" w:hAnsi="Calibri"/>
        </w:rPr>
        <w:t>2.2 Za důvěrné informace se nepovažují informace, které: (a) jsou nebo se stanou veřejně známými bez porušení této Dohody; (b) přijímající strana prokazatelně znala již před jejich poskytnutím; (c) přijímající strana získala nezávisle od třetí osoby oprávněné je sdělit; nebo (d) musí být zpřístupněny na základě zákona, rozhodnutí soudu nebo orgánu veřejné moci, a to v nezbytném rozsahu a po předchozím vyrozumění druhé smluvní strany, je-li to přípustné.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III. Závazek mlčenlivosti</w:t>
      </w:r>
    </w:p>
    <w:p>
      <w:pPr>
        <w:spacing w:after="160"/>
      </w:pPr>
      <w:r>
        <w:rPr>
          <w:rFonts w:ascii="Calibri" w:hAnsi="Calibri"/>
        </w:rPr>
        <w:t>3.1 Přijímající strana se zavazuje zachovávat o důvěrných informacích mlčenlivost, chránit je s péčí řádného hospodáře, nevyužít je pro jiný účel než Účel a nezpřístupnit je žádné třetí osobě bez předchozího písemného souhlasu sdělující strany.</w:t>
      </w:r>
    </w:p>
    <w:p>
      <w:pPr>
        <w:spacing w:after="160"/>
      </w:pPr>
      <w:r>
        <w:rPr>
          <w:rFonts w:ascii="Calibri" w:hAnsi="Calibri"/>
        </w:rPr>
        <w:t>3.2 Přijímající strana je oprávněna zpřístupnit důvěrné informace pouze svým zaměstnancům, statutárním orgánům a poradcům, kteří je nezbytně potřebují znát pro Účel a kteří jsou vázáni obdobnou povinností mlčenlivosti. Za porušení této Dohody těmito osobami odpovídá přijímající strana jako za své vlastní.</w:t>
      </w:r>
    </w:p>
    <w:p>
      <w:pPr>
        <w:spacing w:after="160"/>
      </w:pPr>
      <w:r>
        <w:rPr>
          <w:rFonts w:ascii="Calibri" w:hAnsi="Calibri"/>
        </w:rPr>
        <w:t>3.3 Přijímající strana se zavazuje po splnění Účelu nebo na základě výzvy sdělující strany bez zbytečného odkladu vrátit veškeré nosiče důvěrných informací, případně je trvale zničit a zničení písemně potvrdit.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IV. Doba trvání závazku</w:t>
      </w:r>
    </w:p>
    <w:p>
      <w:pPr>
        <w:spacing w:after="160"/>
      </w:pPr>
      <w:r>
        <w:rPr>
          <w:rFonts w:ascii="Calibri" w:hAnsi="Calibri"/>
        </w:rPr>
        <w:t xml:space="preserve">4.1 Závazek mlčenlivosti trvá po dobu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let / měsíců od poskytnutí příslušné důvěrné informace. U informací, které mají povahu obchodního tajemství podle § 504 občanského zákoníku, trvá závazek mlčenlivosti, dokud trvají znaky obchodního tajemství, i po skončení této Dohody.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V. Smluvní pokuta a náhrada škody</w:t>
      </w:r>
    </w:p>
    <w:p>
      <w:pPr>
        <w:spacing w:after="160"/>
      </w:pPr>
      <w:r>
        <w:rPr>
          <w:rFonts w:ascii="Calibri" w:hAnsi="Calibri"/>
        </w:rPr>
        <w:t xml:space="preserve">5.1 Poruší-li přijímající strana některou povinnost podle čl. III této Dohody, zavazuje se zaplatit sdělující straně smluvní pokutu ve výši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 za každé jednotlivé porušení, a to do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dnů od písemné výzvy.</w:t>
      </w:r>
    </w:p>
    <w:p>
      <w:pPr>
        <w:spacing w:after="160"/>
      </w:pPr>
      <w:r>
        <w:rPr>
          <w:rFonts w:ascii="Calibri" w:hAnsi="Calibri"/>
        </w:rPr>
        <w:t>5.2 Zaplacením smluvní pokuty není dotčeno právo sdělující strany na náhradu škody podle § 1730 odst. 2 a § 2985 občanského zákoníku, a to i ve výši přesahující smluvní pokutu.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VI. Ochrana osobních údajů</w:t>
      </w:r>
    </w:p>
    <w:p>
      <w:pPr>
        <w:spacing w:after="160"/>
      </w:pPr>
      <w:r>
        <w:rPr>
          <w:rFonts w:ascii="Calibri" w:hAnsi="Calibri"/>
        </w:rPr>
        <w:t>6.1 Jsou-li předmětem důvěrných informací osobní údaje, zavazují se smluvní strany zpracovávat je v souladu s nařízením (EU) 2016/679 (GDPR). Tato Dohoda nenahrazuje smlouvu o zpracování osobních údajů podle čl. 28 GDPR, je-li její uzavření nutné.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VII. Závěrečná ustanovení</w:t>
      </w:r>
    </w:p>
    <w:p>
      <w:pPr>
        <w:spacing w:after="160"/>
      </w:pPr>
      <w:r>
        <w:rPr>
          <w:rFonts w:ascii="Calibri" w:hAnsi="Calibri"/>
        </w:rPr>
        <w:t>7.1 Tato Dohoda se řídí právním řádem České republiky, zejména občanským zákoníkem. Spory z ní vzniklé budou řešeny věcně a místně příslušným soudem České republiky.</w:t>
      </w:r>
    </w:p>
    <w:p>
      <w:pPr>
        <w:spacing w:after="160"/>
      </w:pPr>
      <w:r>
        <w:rPr>
          <w:rFonts w:ascii="Calibri" w:hAnsi="Calibri"/>
        </w:rPr>
        <w:t>7.2 Tato Dohoda nabývá platnosti a účinnosti dnem podpisu oběma smluvními stranami. Měnit ji lze pouze písemnými, číslovanými dodatky podepsanými oběma stranami.</w:t>
      </w:r>
    </w:p>
    <w:p>
      <w:pPr>
        <w:spacing w:after="160"/>
      </w:pPr>
      <w:r>
        <w:rPr>
          <w:rFonts w:ascii="Calibri" w:hAnsi="Calibri"/>
        </w:rPr>
        <w:t>7.3 Tato Dohoda je vyhotovena ve dvou stejnopisech, z nichž každá smluvní strana obdrží po jednom.</w:t>
      </w:r>
    </w:p>
    <w:p>
      <w:pPr>
        <w:spacing w:after="160"/>
      </w:pPr>
      <w:r>
        <w:rPr>
          <w:rFonts w:ascii="Calibri" w:hAnsi="Calibri"/>
        </w:rPr>
        <w:t>7.4 Smluvní strany prohlašují, že si Dohodu přečetly, s jejím obsahem souhlasí a uzavírají ji svobodně a vážně, na důkaz čehož připojují své podpisy.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 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 ........................................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Strana A** **Strana B</w:t>
      </w:r>
    </w:p>
    <w:p>
      <w:r>
        <w:rPr>
          <w:rFonts w:ascii="Calibri" w:hAnsi="Calibri"/>
          <w:highlight w:val="lightGray"/>
        </w:rPr>
        <w:t>[Jméno a funkce]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[Jméno a funkce]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https://www.ucto.cz/sablony/nda-mlcenlivost-vzor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